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nts/台灣明體.ttf" ContentType="application/x-font-ttf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Bdr>
          <w:bottom w:val="single" w:sz="6" w:space="1" w:color="CCCCCC"/>
        </w:pBdr>
      </w:pPr>
    </w:p>
    <w:p>
      <w:pPr>
        <w:pStyle w:val="Heading2"/>
      </w:pPr>
      <w:r>
        <w:rPr>
          <w:rFonts w:ascii="台灣明體" w:hAnsi="台灣明體" w:eastAsia="台灣明體"/>
          <w:b/>
          <w:sz w:val="30"/>
        </w:rPr>
        <w:t>layout: default</w:t>
      </w:r>
    </w:p>
    <w:p>
      <w:r>
        <w:rPr>
          <w:rFonts w:ascii="台灣明體" w:hAnsi="台灣明體" w:eastAsia="台灣明體"/>
          <w:b w:val="0"/>
          <w:sz w:val="26"/>
        </w:rPr>
        <w:br/>
        <w:t xml:space="preserve">    body {</w:t>
        <w:br/>
        <w:br/>
        <w:t xml:space="preserve">    }</w:t>
        <w:br/>
        <w:t xml:space="preserve">    p.big {</w:t>
        <w:br/>
        <w:t xml:space="preserve">      line-height: 3;</w:t>
        <w:br/>
        <w:t xml:space="preserve">      font-size: x-large;</w:t>
        <w:br/>
        <w:t xml:space="preserve">    }</w:t>
        <w:br/>
        <w:t xml:space="preserve">    p {</w:t>
        <w:br/>
        <w:t xml:space="preserve">      font-size: 1.5em;</w:t>
        <w:br/>
        <w:t xml:space="preserve">    }</w:t>
        <w:br/>
        <w:t xml:space="preserve">    </w:t>
      </w:r>
    </w:p>
    <w:p>
      <w:pPr>
        <w:pStyle w:val="Heading1"/>
      </w:pPr>
      <w:r>
        <w:rPr>
          <w:rFonts w:ascii="台灣明體" w:hAnsi="台灣明體" w:eastAsia="台灣明體"/>
          <w:b/>
          <w:sz w:val="34"/>
        </w:rPr>
        <w:t>原文</w:t>
      </w:r>
    </w:p>
    <w:p>
      <w:r>
        <w:rPr>
          <w:rFonts w:ascii="台灣明體" w:hAnsi="台灣明體" w:eastAsia="台灣明體"/>
          <w:b w:val="0"/>
          <w:sz w:val="26"/>
        </w:rPr>
        <w:t>梁惠王曰：「寡人之於國也，盡心焉耳矣。河內凶，則移其民於河東，移其粟於河內。河東凶亦然。察鄰國之政，無如寡人之用心者。鄰國之民不加少，寡人之民不加多，何也？」</w:t>
        <w:br/>
        <w:t>孟子對曰：「王好戰，請以戰喻。填然鼓之，兵刃既接，棄甲曳兵而走。或百步而後止，或五十步而後止。以五十步笑百步，則何如？」</w:t>
        <w:br/>
        <w:t>曰：「不可，直不百步耳，是亦走也。」</w:t>
        <w:br/>
        <w:t>曰：「王如知此，則無望民之多於鄰國也。」</w:t>
      </w:r>
    </w:p>
    <w:p>
      <w:pPr>
        <w:pStyle w:val="Heading1"/>
      </w:pPr>
      <w:r>
        <w:rPr>
          <w:rFonts w:ascii="台灣明體" w:hAnsi="台灣明體" w:eastAsia="台灣明體"/>
          <w:b/>
          <w:sz w:val="34"/>
        </w:rPr>
        <w:t>翻譯與文法說明</w:t>
      </w:r>
    </w:p>
    <w:p>
      <w:r>
        <w:rPr>
          <w:rFonts w:ascii="台灣明體" w:hAnsi="台灣明體" w:eastAsia="台灣明體"/>
          <w:b w:val="0"/>
          <w:sz w:val="26"/>
        </w:rPr>
        <w:t>目錄</w:t>
      </w:r>
      <w:r>
        <w:rPr>
          <w:rFonts w:ascii="台灣明體" w:hAnsi="台灣明體" w:eastAsia="台灣明體"/>
          <w:b w:val="0"/>
          <w:sz w:val="26"/>
        </w:rPr>
        <w:t>.</w:t>
      </w:r>
    </w:p>
    <w:sectPr w:rsidR="00FC693F" w:rsidRPr="0006063C" w:rsidSect="00034616">
      <w:pgSz w:w="8640" w:h="12960"/>
      <w:pgMar w:top="864" w:right="864" w:bottom="864" w:left="864" w:header="720" w:footer="720" w:gutter="0"/>
      <w:cols w:space="720"/>
      <w:docGrid w:linePitch="360"/>
      <w:textDirection w:val="tbRl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  <w:rPr>
      <w:rFonts w:ascii="台灣明體" w:hAnsi="台灣明體" w:eastAsia="台灣明體"/>
      <w:sz w:val="26"/>
    </w:rPr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120" w:after="80"/>
      <w:outlineLvl w:val="0"/>
    </w:pPr>
    <w:rPr>
      <w:rFonts w:asciiTheme="majorHAnsi" w:eastAsiaTheme="majorEastAsia" w:hAnsiTheme="majorHAnsi" w:cstheme="majorBidi" w:ascii="台灣明體" w:hAnsi="台灣明體" w:eastAsia="台灣明體"/>
      <w:b/>
      <w:bCs/>
      <w:color w:val="365F91" w:themeColor="accent1" w:themeShade="BF"/>
      <w:sz w:val="34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120" w:after="80"/>
      <w:outlineLvl w:val="1"/>
    </w:pPr>
    <w:rPr>
      <w:rFonts w:asciiTheme="majorHAnsi" w:eastAsiaTheme="majorEastAsia" w:hAnsiTheme="majorHAnsi" w:cstheme="majorBidi" w:ascii="台灣明體" w:hAnsi="台灣明體" w:eastAsia="台灣明體"/>
      <w:b/>
      <w:bCs/>
      <w:color w:val="4F81BD" w:themeColor="accent1"/>
      <w:sz w:val="30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120" w:after="80"/>
      <w:outlineLvl w:val="2"/>
    </w:pPr>
    <w:rPr>
      <w:rFonts w:asciiTheme="majorHAnsi" w:eastAsiaTheme="majorEastAsia" w:hAnsiTheme="majorHAnsi" w:cstheme="majorBidi" w:ascii="台灣明體" w:hAnsi="台灣明體" w:eastAsia="台灣明體"/>
      <w:b/>
      <w:bCs/>
      <w:color w:val="4F81BD" w:themeColor="accent1"/>
      <w:sz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font" Target="fonts/&#21488;&#28771;&#26126;&#39636;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